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12A6A" w14:textId="4006F752" w:rsidR="007D3511" w:rsidRDefault="00BA0613" w:rsidP="0055700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OF </w:t>
      </w:r>
      <w:r w:rsidR="00430B0F">
        <w:rPr>
          <w:rFonts w:asciiTheme="minorHAnsi" w:hAnsiTheme="minorHAnsi" w:cs="Calibri"/>
          <w:b/>
          <w:bCs/>
          <w:sz w:val="28"/>
        </w:rPr>
        <w:t>APPREHENSION</w:t>
      </w:r>
    </w:p>
    <w:p w14:paraId="664AE002" w14:textId="618097CC" w:rsidR="00CC5056" w:rsidRDefault="00CC5056" w:rsidP="0055700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15896494" w14:textId="4F3AD6E5" w:rsidR="00CC5056" w:rsidRDefault="00CC5056" w:rsidP="00CC505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233A04">
        <w:rPr>
          <w:rFonts w:asciiTheme="minorHAnsi" w:hAnsiTheme="minorHAnsi" w:cs="Calibri"/>
          <w:iCs/>
        </w:rPr>
        <w:t>SUPREME</w:t>
      </w:r>
      <w:r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2E43311" w14:textId="77777777" w:rsidR="00CC5056" w:rsidRPr="00017403" w:rsidRDefault="00CC5056" w:rsidP="004B1DCF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bookmarkEnd w:id="0"/>
    <w:p w14:paraId="505B2CB6" w14:textId="6032845A" w:rsidR="007D3511" w:rsidRDefault="00A648B8" w:rsidP="004B1DCF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D47030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D162F9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D162F9">
        <w:rPr>
          <w:rFonts w:asciiTheme="minorHAnsi" w:hAnsiTheme="minorHAnsi" w:cs="Calibri"/>
          <w:b/>
          <w:sz w:val="12"/>
        </w:rPr>
        <w:t xml:space="preserve"> if more than one</w:t>
      </w:r>
      <w:r w:rsidR="00CC5056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AC750A8" w14:textId="77777777" w:rsidR="004B1DCF" w:rsidRPr="004B1DCF" w:rsidRDefault="004B1DCF" w:rsidP="004B1DCF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7B6E3F2E" w14:textId="77777777" w:rsidR="004B1DCF" w:rsidRPr="004B1DCF" w:rsidDel="00897A6B" w:rsidRDefault="004B1DCF" w:rsidP="004B1DC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B1DCF" w:rsidDel="00897A6B">
        <w:rPr>
          <w:rFonts w:cs="Calibri"/>
          <w:bCs/>
        </w:rPr>
        <w:t xml:space="preserve">First </w:t>
      </w:r>
      <w:r w:rsidRPr="004B1DCF">
        <w:rPr>
          <w:rFonts w:cs="Calibri"/>
          <w:bCs/>
        </w:rPr>
        <w:t>Applicant</w:t>
      </w:r>
    </w:p>
    <w:p w14:paraId="4F7AB52E" w14:textId="77777777" w:rsidR="004B1DCF" w:rsidRPr="004B1DCF" w:rsidRDefault="004B1DCF" w:rsidP="004B1DC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1858E16" w14:textId="77777777" w:rsidR="004B1DCF" w:rsidRPr="004B1DCF" w:rsidDel="00897A6B" w:rsidRDefault="004B1DCF" w:rsidP="004B1DC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B1DCF">
        <w:rPr>
          <w:rFonts w:cs="Calibri"/>
          <w:bCs/>
        </w:rPr>
        <w:t>First Respondent</w:t>
      </w:r>
    </w:p>
    <w:p w14:paraId="6BA8BCCE" w14:textId="77777777" w:rsidR="004B1DCF" w:rsidRPr="004B1DCF" w:rsidRDefault="004B1DCF" w:rsidP="004B1DC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3600A5F" w14:textId="77777777" w:rsidR="004B1DCF" w:rsidRPr="004B1DCF" w:rsidRDefault="004B1DCF" w:rsidP="004B1DCF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4B1DCF">
        <w:rPr>
          <w:rFonts w:cs="Calibri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280A3C" w:rsidRPr="00D51446" w14:paraId="7752D074" w14:textId="77777777" w:rsidTr="004B1DCF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B9EA5" w14:textId="77777777" w:rsidR="00280A3C" w:rsidRPr="00D51446" w:rsidRDefault="00280A3C" w:rsidP="007D62BA">
            <w:pPr>
              <w:keepNext/>
              <w:rPr>
                <w:rFonts w:cs="Arial"/>
              </w:rPr>
            </w:pPr>
            <w:bookmarkStart w:id="3" w:name="_Hlk38351993"/>
            <w:bookmarkStart w:id="4" w:name="_Hlk38383639"/>
            <w:bookmarkStart w:id="5" w:name="_GoBack"/>
            <w:bookmarkEnd w:id="1"/>
            <w:bookmarkEnd w:id="2"/>
            <w:bookmarkEnd w:id="5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20265" w14:textId="77777777" w:rsidR="00280A3C" w:rsidRPr="00D51446" w:rsidRDefault="00280A3C" w:rsidP="007D62BA">
            <w:pPr>
              <w:keepNext/>
              <w:rPr>
                <w:rFonts w:cs="Arial"/>
              </w:rPr>
            </w:pPr>
          </w:p>
        </w:tc>
      </w:tr>
      <w:tr w:rsidR="00280A3C" w:rsidRPr="00D51446" w14:paraId="7EEABC2C" w14:textId="77777777" w:rsidTr="004B1DCF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468" w14:textId="77777777" w:rsidR="00280A3C" w:rsidRPr="00D51446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3C4" w14:textId="77777777" w:rsidR="00280A3C" w:rsidRPr="00D51446" w:rsidRDefault="00280A3C" w:rsidP="007D62BA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Full Name (includi</w:t>
            </w:r>
            <w:r>
              <w:rPr>
                <w:rFonts w:cs="Arial"/>
                <w:b/>
                <w:sz w:val="12"/>
              </w:rPr>
              <w:t>ng Also Known as, capacity (eg</w:t>
            </w:r>
            <w:r w:rsidRPr="00D51446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80A3C" w:rsidRPr="00D51446" w14:paraId="6759A348" w14:textId="77777777" w:rsidTr="004B1DCF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1DB80" w14:textId="77777777" w:rsidR="00280A3C" w:rsidRDefault="00280A3C" w:rsidP="007D62BA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 / solicitor</w:t>
            </w:r>
          </w:p>
          <w:p w14:paraId="0F8E6630" w14:textId="77777777" w:rsidR="00280A3C" w:rsidRPr="00FD3257" w:rsidRDefault="00280A3C" w:rsidP="007D62BA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30B1D" w14:textId="77777777" w:rsidR="00280A3C" w:rsidRPr="00D51446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E42E8" w14:textId="77777777" w:rsidR="00280A3C" w:rsidRPr="009A2A10" w:rsidRDefault="00280A3C" w:rsidP="007D62BA">
            <w:pPr>
              <w:keepNext/>
              <w:rPr>
                <w:rFonts w:cs="Arial"/>
              </w:rPr>
            </w:pPr>
          </w:p>
        </w:tc>
      </w:tr>
      <w:tr w:rsidR="00280A3C" w:rsidRPr="00D51446" w14:paraId="63B112BA" w14:textId="77777777" w:rsidTr="004B1DCF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BA9" w14:textId="77777777" w:rsidR="00280A3C" w:rsidRPr="00D51446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881EC" w14:textId="77777777" w:rsidR="00280A3C" w:rsidRPr="00D51446" w:rsidRDefault="00280A3C" w:rsidP="007D62BA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D1A92" w14:textId="77777777" w:rsidR="00280A3C" w:rsidRPr="00D51446" w:rsidRDefault="00280A3C" w:rsidP="007D62BA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3"/>
      <w:bookmarkEnd w:id="4"/>
    </w:tbl>
    <w:p w14:paraId="1A94B41C" w14:textId="2DC854BB" w:rsidR="00557007" w:rsidRDefault="00557007" w:rsidP="00280A3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45"/>
        <w:gridCol w:w="13"/>
      </w:tblGrid>
      <w:tr w:rsidR="00557007" w:rsidRPr="00900581" w14:paraId="32250B51" w14:textId="77777777" w:rsidTr="00280A3C">
        <w:trPr>
          <w:gridAfter w:val="1"/>
          <w:wAfter w:w="13" w:type="dxa"/>
          <w:cantSplit/>
        </w:trPr>
        <w:tc>
          <w:tcPr>
            <w:tcW w:w="10457" w:type="dxa"/>
            <w:gridSpan w:val="5"/>
          </w:tcPr>
          <w:p w14:paraId="65315F61" w14:textId="2D1B2BF8" w:rsidR="00557007" w:rsidRPr="00284D42" w:rsidRDefault="00557007" w:rsidP="00280A3C">
            <w:pPr>
              <w:spacing w:before="120" w:after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P</w:t>
            </w:r>
            <w:r w:rsidRPr="00284D42">
              <w:rPr>
                <w:rFonts w:asciiTheme="minorHAnsi" w:hAnsiTheme="minorHAnsi" w:cs="Calibri"/>
                <w:b/>
              </w:rPr>
              <w:t>erson the subject of this warrant</w:t>
            </w:r>
          </w:p>
        </w:tc>
      </w:tr>
      <w:tr w:rsidR="00280A3C" w:rsidRPr="003928D5" w14:paraId="170C8160" w14:textId="77777777" w:rsidTr="00280A3C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3E7A82C" w14:textId="77777777" w:rsidR="00280A3C" w:rsidRPr="003928D5" w:rsidRDefault="00280A3C" w:rsidP="007D62BA">
            <w:pPr>
              <w:keepNext/>
              <w:rPr>
                <w:rFonts w:cs="Arial"/>
              </w:rPr>
            </w:pPr>
            <w:bookmarkStart w:id="6" w:name="_Hlk38552885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2B8EA6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</w:tr>
      <w:tr w:rsidR="00280A3C" w:rsidRPr="003928D5" w14:paraId="2960898B" w14:textId="77777777" w:rsidTr="00280A3C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5CBF825" w14:textId="77777777" w:rsidR="00280A3C" w:rsidRPr="00882240" w:rsidRDefault="00280A3C" w:rsidP="007D62BA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CFB8D18" w14:textId="77777777" w:rsidR="00280A3C" w:rsidRPr="003928D5" w:rsidRDefault="00280A3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80A3C" w:rsidRPr="003928D5" w14:paraId="6C9F1169" w14:textId="77777777" w:rsidTr="00280A3C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7895955" w14:textId="77777777" w:rsidR="00280A3C" w:rsidRPr="003928D5" w:rsidRDefault="00280A3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B3508CA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</w:tr>
      <w:tr w:rsidR="00280A3C" w:rsidRPr="003928D5" w14:paraId="01BBCD0E" w14:textId="77777777" w:rsidTr="00280A3C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6BD5DE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CF86EB5" w14:textId="77777777" w:rsidR="00280A3C" w:rsidRPr="0049569B" w:rsidRDefault="00280A3C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80A3C" w:rsidRPr="003928D5" w14:paraId="73F71522" w14:textId="77777777" w:rsidTr="00280A3C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CB64783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7E233A1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BE35318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AF7B4FB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gridSpan w:val="2"/>
            <w:tcBorders>
              <w:bottom w:val="nil"/>
            </w:tcBorders>
          </w:tcPr>
          <w:p w14:paraId="4BE6E54A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</w:tr>
      <w:tr w:rsidR="00280A3C" w:rsidRPr="003928D5" w14:paraId="031F17FA" w14:textId="77777777" w:rsidTr="00280A3C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8F29D9A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E951EA6" w14:textId="77777777" w:rsidR="00280A3C" w:rsidRPr="0049569B" w:rsidRDefault="00280A3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9C589E3" w14:textId="77777777" w:rsidR="00280A3C" w:rsidRPr="003928D5" w:rsidRDefault="00280A3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A47C386" w14:textId="77777777" w:rsidR="00280A3C" w:rsidRPr="003928D5" w:rsidRDefault="00280A3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24C17A" w14:textId="77777777" w:rsidR="00280A3C" w:rsidRPr="003928D5" w:rsidRDefault="00280A3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280A3C" w:rsidRPr="003928D5" w14:paraId="0D04BC5C" w14:textId="77777777" w:rsidTr="00280A3C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AE77D34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BB143F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</w:tr>
      <w:tr w:rsidR="00280A3C" w:rsidRPr="003928D5" w14:paraId="5A9E20B7" w14:textId="77777777" w:rsidTr="00280A3C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9BAD87D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00FD653" w14:textId="77777777" w:rsidR="00280A3C" w:rsidRPr="0049569B" w:rsidRDefault="00280A3C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280A3C" w:rsidRPr="003928D5" w14:paraId="503B368C" w14:textId="77777777" w:rsidTr="00280A3C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5A0244" w14:textId="77777777" w:rsidR="00280A3C" w:rsidRPr="003928D5" w:rsidRDefault="00280A3C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B15D939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</w:tr>
      <w:tr w:rsidR="00280A3C" w:rsidRPr="003928D5" w14:paraId="26C2333A" w14:textId="77777777" w:rsidTr="00280A3C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AA886B5" w14:textId="77777777" w:rsidR="00280A3C" w:rsidRPr="003928D5" w:rsidRDefault="00280A3C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E448C2A" w14:textId="77777777" w:rsidR="00280A3C" w:rsidRPr="00A14B87" w:rsidRDefault="00280A3C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6"/>
    <w:p w14:paraId="151749DF" w14:textId="43BE7DD2" w:rsidR="00557007" w:rsidRDefault="00557007" w:rsidP="0055700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persons</w:t>
      </w:r>
    </w:p>
    <w:p w14:paraId="5FF2C745" w14:textId="386AE9F7" w:rsidR="001E7AB1" w:rsidRDefault="001E7AB1" w:rsidP="00D47030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E211B2" w14:paraId="5581E0C6" w14:textId="77777777" w:rsidTr="00280A3C">
        <w:trPr>
          <w:cantSplit/>
        </w:trPr>
        <w:tc>
          <w:tcPr>
            <w:tcW w:w="10457" w:type="dxa"/>
          </w:tcPr>
          <w:p w14:paraId="44BA15F8" w14:textId="453264B9" w:rsidR="00FE2928" w:rsidRPr="006458DE" w:rsidRDefault="00FE2928" w:rsidP="00280A3C">
            <w:pPr>
              <w:spacing w:before="120" w:after="240"/>
              <w:jc w:val="left"/>
              <w:rPr>
                <w:rFonts w:cs="Arial"/>
                <w:i/>
                <w:szCs w:val="22"/>
              </w:rPr>
            </w:pPr>
            <w:r w:rsidRPr="006458DE">
              <w:rPr>
                <w:rFonts w:cs="Arial"/>
                <w:b/>
                <w:szCs w:val="22"/>
              </w:rPr>
              <w:lastRenderedPageBreak/>
              <w:t xml:space="preserve">To the Sheriff and to the Commissioner of Police </w:t>
            </w:r>
            <w:r w:rsidR="006458DE">
              <w:rPr>
                <w:rFonts w:cs="Arial"/>
                <w:b/>
                <w:szCs w:val="22"/>
              </w:rPr>
              <w:t>and members of the Police Force</w:t>
            </w:r>
          </w:p>
          <w:p w14:paraId="1CF9D9CB" w14:textId="77777777" w:rsidR="005705F2" w:rsidRPr="006458DE" w:rsidRDefault="005705F2" w:rsidP="00280A3C">
            <w:pPr>
              <w:spacing w:after="240"/>
              <w:jc w:val="left"/>
              <w:rPr>
                <w:rFonts w:cs="Arial"/>
                <w:b/>
              </w:rPr>
            </w:pPr>
            <w:r w:rsidRPr="006458DE">
              <w:rPr>
                <w:rFonts w:cs="Arial"/>
                <w:b/>
              </w:rPr>
              <w:t>Recitals</w:t>
            </w:r>
          </w:p>
          <w:p w14:paraId="6F1C2456" w14:textId="7BD58A9D" w:rsidR="00E211B2" w:rsidRPr="006458DE" w:rsidRDefault="00557007" w:rsidP="00280A3C">
            <w:pPr>
              <w:jc w:val="left"/>
              <w:rPr>
                <w:rFonts w:cs="Arial"/>
              </w:rPr>
            </w:pPr>
            <w:r w:rsidRPr="006458DE">
              <w:rPr>
                <w:rFonts w:cs="Arial"/>
              </w:rPr>
              <w:t xml:space="preserve">The Court being satisfied </w:t>
            </w:r>
            <w:r w:rsidR="00E211B2" w:rsidRPr="006458DE">
              <w:rPr>
                <w:rFonts w:cs="Arial"/>
              </w:rPr>
              <w:t xml:space="preserve">on </w:t>
            </w:r>
            <w:r w:rsidR="00A40968" w:rsidRPr="006458DE">
              <w:rPr>
                <w:rFonts w:cs="Arial"/>
              </w:rPr>
              <w:t>[</w:t>
            </w:r>
            <w:r w:rsidR="00A40968" w:rsidRPr="006458DE">
              <w:rPr>
                <w:rFonts w:cs="Arial"/>
                <w:i/>
              </w:rPr>
              <w:t>date</w:t>
            </w:r>
            <w:r w:rsidR="00A40968" w:rsidRPr="006458DE">
              <w:rPr>
                <w:rFonts w:cs="Arial"/>
              </w:rPr>
              <w:t xml:space="preserve">] </w:t>
            </w:r>
            <w:r w:rsidR="00B870BD" w:rsidRPr="006458DE">
              <w:rPr>
                <w:rFonts w:cs="Arial"/>
                <w:color w:val="000000"/>
              </w:rPr>
              <w:t>by evidence on oath that there are reasonable grounds to believe</w:t>
            </w:r>
            <w:r w:rsidR="00B870BD" w:rsidRPr="006458DE">
              <w:rPr>
                <w:rFonts w:cs="Arial"/>
              </w:rPr>
              <w:t xml:space="preserve"> </w:t>
            </w:r>
            <w:r w:rsidRPr="006458DE">
              <w:rPr>
                <w:rFonts w:cs="Arial"/>
              </w:rPr>
              <w:t>that:</w:t>
            </w:r>
          </w:p>
          <w:p w14:paraId="0FE2593C" w14:textId="77777777" w:rsidR="008E3BB7" w:rsidRPr="006458DE" w:rsidRDefault="008E3BB7" w:rsidP="008E3BB7">
            <w:pPr>
              <w:keepLines/>
              <w:tabs>
                <w:tab w:val="center" w:pos="1191"/>
                <w:tab w:val="left" w:pos="1588"/>
              </w:tabs>
              <w:spacing w:before="120"/>
              <w:ind w:left="567" w:hanging="567"/>
              <w:rPr>
                <w:rFonts w:eastAsia="Calibri" w:cs="Arial"/>
              </w:rPr>
            </w:pPr>
            <w:r w:rsidRPr="006458DE">
              <w:rPr>
                <w:rFonts w:eastAsia="Calibri" w:cs="Arial"/>
              </w:rPr>
              <w:t>(a)</w:t>
            </w:r>
            <w:r w:rsidRPr="006458DE">
              <w:rPr>
                <w:rFonts w:eastAsia="Calibri" w:cs="Arial"/>
              </w:rPr>
              <w:tab/>
              <w:t xml:space="preserve">that the Person the subject of this warrant has been ordered, under clause 18 of Schedule 2 to the Independent Commissioner against Corruption Act 2012, to deliver his or her passport to the examiner and is likely to leave Australia </w:t>
            </w:r>
            <w:proofErr w:type="gramStart"/>
            <w:r w:rsidRPr="006458DE">
              <w:rPr>
                <w:rFonts w:eastAsia="Calibri" w:cs="Arial"/>
              </w:rPr>
              <w:t>for the purpose of</w:t>
            </w:r>
            <w:proofErr w:type="gramEnd"/>
            <w:r w:rsidRPr="006458DE">
              <w:rPr>
                <w:rFonts w:eastAsia="Calibri" w:cs="Arial"/>
              </w:rPr>
              <w:t xml:space="preserve"> avoiding giving evidence before the examiner</w:t>
            </w:r>
          </w:p>
          <w:p w14:paraId="79861EEC" w14:textId="77777777" w:rsidR="008E3BB7" w:rsidRPr="006458DE" w:rsidRDefault="008E3BB7" w:rsidP="008E3BB7">
            <w:pPr>
              <w:keepLines/>
              <w:tabs>
                <w:tab w:val="center" w:pos="1191"/>
                <w:tab w:val="left" w:pos="1588"/>
              </w:tabs>
              <w:spacing w:before="120"/>
              <w:ind w:left="567" w:hanging="567"/>
              <w:rPr>
                <w:rFonts w:eastAsia="Calibri" w:cs="Arial"/>
              </w:rPr>
            </w:pPr>
            <w:r w:rsidRPr="006458DE">
              <w:rPr>
                <w:rFonts w:eastAsia="Calibri" w:cs="Arial"/>
              </w:rPr>
              <w:t>(b)</w:t>
            </w:r>
            <w:r w:rsidRPr="006458DE">
              <w:rPr>
                <w:rFonts w:eastAsia="Calibri" w:cs="Arial"/>
              </w:rPr>
              <w:tab/>
              <w:t>that the Person the subject of this warrant has been issued with a summons under clause 4(1) of Schedule 2 to the Independent</w:t>
            </w:r>
            <w:r w:rsidRPr="006458DE">
              <w:rPr>
                <w:rFonts w:eastAsia="Calibri" w:cs="Arial"/>
                <w:i/>
              </w:rPr>
              <w:t xml:space="preserve"> </w:t>
            </w:r>
            <w:r w:rsidRPr="006458DE">
              <w:rPr>
                <w:rFonts w:eastAsia="Calibri" w:cs="Arial"/>
              </w:rPr>
              <w:t>Commissioner against Corruption Act 2012</w:t>
            </w:r>
            <w:r w:rsidRPr="006458DE">
              <w:rPr>
                <w:rFonts w:eastAsia="Calibri" w:cs="Arial"/>
                <w:i/>
              </w:rPr>
              <w:t xml:space="preserve"> </w:t>
            </w:r>
            <w:r w:rsidRPr="006458DE">
              <w:rPr>
                <w:rFonts w:eastAsia="Calibri" w:cs="Arial"/>
              </w:rPr>
              <w:t>and</w:t>
            </w:r>
            <w:r w:rsidRPr="006458DE">
              <w:rPr>
                <w:rFonts w:eastAsia="Calibri" w:cs="Arial"/>
                <w:i/>
              </w:rPr>
              <w:t xml:space="preserve"> </w:t>
            </w:r>
            <w:r w:rsidRPr="006458DE">
              <w:rPr>
                <w:rFonts w:eastAsia="Calibri" w:cs="Arial"/>
              </w:rPr>
              <w:t>[</w:t>
            </w:r>
            <w:r w:rsidRPr="006458DE">
              <w:rPr>
                <w:rFonts w:eastAsia="Calibri" w:cs="Arial"/>
                <w:i/>
              </w:rPr>
              <w:t>has absconded/is likely to abscond</w:t>
            </w:r>
            <w:r w:rsidRPr="006458DE">
              <w:rPr>
                <w:rFonts w:eastAsia="Calibri" w:cs="Arial"/>
              </w:rPr>
              <w:t>].</w:t>
            </w:r>
          </w:p>
          <w:p w14:paraId="295D328E" w14:textId="77777777" w:rsidR="008E3BB7" w:rsidRPr="006458DE" w:rsidRDefault="008E3BB7" w:rsidP="008E3BB7">
            <w:pPr>
              <w:keepLines/>
              <w:tabs>
                <w:tab w:val="center" w:pos="1191"/>
                <w:tab w:val="left" w:pos="1588"/>
              </w:tabs>
              <w:spacing w:before="120"/>
              <w:ind w:left="567" w:hanging="567"/>
              <w:rPr>
                <w:rFonts w:eastAsia="Calibri" w:cs="Arial"/>
              </w:rPr>
            </w:pPr>
            <w:r w:rsidRPr="006458DE">
              <w:rPr>
                <w:rFonts w:eastAsia="Calibri" w:cs="Arial"/>
              </w:rPr>
              <w:t>(c)</w:t>
            </w:r>
            <w:r w:rsidRPr="006458DE">
              <w:rPr>
                <w:rFonts w:eastAsia="Calibri" w:cs="Arial"/>
              </w:rPr>
              <w:tab/>
              <w:t>that the Person the subject of this warrant has been issued with a summons under clause 4(1) of Schedule 2 to the Independent Commissioner against Corruption Act 2012</w:t>
            </w:r>
            <w:r w:rsidRPr="006458DE">
              <w:rPr>
                <w:rFonts w:eastAsia="Calibri" w:cs="Arial"/>
                <w:i/>
              </w:rPr>
              <w:t xml:space="preserve"> </w:t>
            </w:r>
            <w:r w:rsidRPr="006458DE">
              <w:rPr>
                <w:rFonts w:eastAsia="Calibri" w:cs="Arial"/>
              </w:rPr>
              <w:t>and is</w:t>
            </w:r>
            <w:r w:rsidRPr="006458DE">
              <w:rPr>
                <w:rFonts w:eastAsia="Calibri" w:cs="Arial"/>
                <w:i/>
              </w:rPr>
              <w:t xml:space="preserve"> </w:t>
            </w:r>
            <w:r w:rsidRPr="006458DE">
              <w:rPr>
                <w:rFonts w:eastAsia="Calibri" w:cs="Arial"/>
              </w:rPr>
              <w:t>[</w:t>
            </w:r>
            <w:r w:rsidRPr="006458DE">
              <w:rPr>
                <w:rFonts w:eastAsia="Calibri" w:cs="Arial"/>
                <w:i/>
              </w:rPr>
              <w:t>attempting/likely to attempt</w:t>
            </w:r>
            <w:r w:rsidRPr="006458DE">
              <w:rPr>
                <w:rFonts w:eastAsia="Calibri" w:cs="Arial"/>
              </w:rPr>
              <w:t>]</w:t>
            </w:r>
            <w:r w:rsidRPr="006458DE">
              <w:rPr>
                <w:rFonts w:eastAsia="Calibri" w:cs="Arial"/>
                <w:i/>
              </w:rPr>
              <w:t xml:space="preserve"> </w:t>
            </w:r>
            <w:r w:rsidRPr="006458DE">
              <w:rPr>
                <w:rFonts w:eastAsia="Calibri" w:cs="Arial"/>
              </w:rPr>
              <w:t>to evade service of the summons.</w:t>
            </w:r>
          </w:p>
          <w:p w14:paraId="77693DEF" w14:textId="44F35423" w:rsidR="008E3BB7" w:rsidRPr="006458DE" w:rsidRDefault="008E3BB7" w:rsidP="00280A3C">
            <w:pPr>
              <w:keepLines/>
              <w:tabs>
                <w:tab w:val="center" w:pos="1191"/>
                <w:tab w:val="left" w:pos="1588"/>
              </w:tabs>
              <w:spacing w:before="120"/>
              <w:ind w:left="567" w:hanging="567"/>
              <w:rPr>
                <w:rFonts w:eastAsia="Calibri" w:cs="Arial"/>
              </w:rPr>
            </w:pPr>
            <w:r w:rsidRPr="006458DE">
              <w:rPr>
                <w:rFonts w:eastAsia="Calibri" w:cs="Arial"/>
              </w:rPr>
              <w:t>(d)</w:t>
            </w:r>
            <w:r w:rsidRPr="006458DE">
              <w:rPr>
                <w:rFonts w:eastAsia="Calibri" w:cs="Arial"/>
              </w:rPr>
              <w:tab/>
              <w:t>the Person the subject of this warrant [</w:t>
            </w:r>
            <w:r w:rsidRPr="006458DE">
              <w:rPr>
                <w:rFonts w:eastAsia="Calibri" w:cs="Arial"/>
                <w:i/>
              </w:rPr>
              <w:t>has committed/ is likely to commit</w:t>
            </w:r>
            <w:r w:rsidRPr="006458DE">
              <w:rPr>
                <w:rFonts w:eastAsia="Calibri" w:cs="Arial"/>
              </w:rPr>
              <w:t>] an offence under clause 8(1) of Schedule 2 to the Independent Commissioner against Corruption Act 2012.</w:t>
            </w:r>
          </w:p>
          <w:p w14:paraId="29E3CDBF" w14:textId="4540CC64" w:rsidR="00E211B2" w:rsidRPr="006458DE" w:rsidRDefault="005705F2" w:rsidP="00280A3C">
            <w:pPr>
              <w:spacing w:before="240"/>
              <w:jc w:val="left"/>
              <w:rPr>
                <w:rFonts w:cs="Arial"/>
              </w:rPr>
            </w:pPr>
            <w:r w:rsidRPr="006458DE">
              <w:rPr>
                <w:rFonts w:cs="Arial"/>
                <w:b/>
              </w:rPr>
              <w:t>Warrant</w:t>
            </w:r>
          </w:p>
          <w:p w14:paraId="028F74DB" w14:textId="05886939" w:rsidR="00557007" w:rsidRPr="006458DE" w:rsidRDefault="00E211B2" w:rsidP="00F76488">
            <w:pPr>
              <w:spacing w:before="240" w:after="240"/>
              <w:jc w:val="left"/>
              <w:rPr>
                <w:rFonts w:cs="Arial"/>
              </w:rPr>
            </w:pPr>
            <w:r w:rsidRPr="006458DE">
              <w:rPr>
                <w:rFonts w:cs="Arial"/>
              </w:rPr>
              <w:t xml:space="preserve">YOU ARE DIRECTED to arrest </w:t>
            </w:r>
            <w:r w:rsidR="00557007" w:rsidRPr="006458DE">
              <w:rPr>
                <w:rFonts w:cs="Arial"/>
              </w:rPr>
              <w:t xml:space="preserve">the Person the subject of this warrant and bring the Person before the Supreme Court as soon as reasonably possible to be dealt with by order of the Court. </w:t>
            </w:r>
          </w:p>
          <w:p w14:paraId="1E469DF4" w14:textId="041B6F23" w:rsidR="00D162F9" w:rsidRPr="006458DE" w:rsidRDefault="00D162F9" w:rsidP="00280A3C">
            <w:pPr>
              <w:spacing w:after="240"/>
              <w:jc w:val="left"/>
              <w:rPr>
                <w:rFonts w:asciiTheme="minorHAnsi" w:hAnsiTheme="minorHAnsi" w:cs="Calibri"/>
              </w:rPr>
            </w:pPr>
            <w:r w:rsidRPr="006458DE">
              <w:rPr>
                <w:rFonts w:cs="Arial"/>
              </w:rPr>
              <w:t xml:space="preserve">YOU ARE </w:t>
            </w:r>
            <w:r w:rsidR="009B6D4D" w:rsidRPr="006458DE">
              <w:rPr>
                <w:rFonts w:cs="Arial"/>
              </w:rPr>
              <w:t>AUTHORISED</w:t>
            </w:r>
            <w:r w:rsidRPr="006458DE">
              <w:rPr>
                <w:rFonts w:cs="Arial"/>
              </w:rPr>
              <w:t xml:space="preserve"> to arrest the P</w:t>
            </w:r>
            <w:r w:rsidRPr="006458DE">
              <w:rPr>
                <w:rFonts w:asciiTheme="minorHAnsi" w:hAnsiTheme="minorHAnsi" w:cs="Calibri"/>
              </w:rPr>
              <w:t>erson the subject of this warrant</w:t>
            </w:r>
          </w:p>
          <w:p w14:paraId="322C23D2" w14:textId="77777777" w:rsidR="008E3BB7" w:rsidRPr="006458DE" w:rsidRDefault="008E3BB7" w:rsidP="00280A3C">
            <w:pPr>
              <w:ind w:left="567" w:hanging="567"/>
              <w:jc w:val="left"/>
              <w:rPr>
                <w:rFonts w:eastAsia="Calibri" w:cs="Arial"/>
              </w:rPr>
            </w:pPr>
            <w:r w:rsidRPr="006458DE">
              <w:rPr>
                <w:rFonts w:eastAsia="Calibri" w:cs="Arial"/>
              </w:rPr>
              <w:t xml:space="preserve">[     </w:t>
            </w:r>
            <w:proofErr w:type="gramStart"/>
            <w:r w:rsidRPr="006458DE">
              <w:rPr>
                <w:rFonts w:eastAsia="Calibri" w:cs="Arial"/>
              </w:rPr>
              <w:t xml:space="preserve">  ]</w:t>
            </w:r>
            <w:proofErr w:type="gramEnd"/>
            <w:r w:rsidRPr="006458DE">
              <w:rPr>
                <w:rFonts w:eastAsia="Calibri" w:cs="Arial"/>
              </w:rPr>
              <w:tab/>
            </w:r>
            <w:r w:rsidRPr="006458DE">
              <w:rPr>
                <w:rFonts w:eastAsia="Calibri" w:cs="Arial"/>
                <w:iCs/>
              </w:rPr>
              <w:t>only during normal Court hours.</w:t>
            </w:r>
          </w:p>
          <w:p w14:paraId="6266F50C" w14:textId="77777777" w:rsidR="008E3BB7" w:rsidRPr="006458DE" w:rsidRDefault="008E3BB7" w:rsidP="00280A3C">
            <w:pPr>
              <w:ind w:left="567" w:hanging="567"/>
              <w:jc w:val="left"/>
              <w:rPr>
                <w:rFonts w:eastAsia="Calibri" w:cs="Arial"/>
              </w:rPr>
            </w:pPr>
            <w:r w:rsidRPr="006458DE">
              <w:rPr>
                <w:rFonts w:eastAsia="Calibri" w:cs="Arial"/>
              </w:rPr>
              <w:t xml:space="preserve">[     </w:t>
            </w:r>
            <w:proofErr w:type="gramStart"/>
            <w:r w:rsidRPr="006458DE">
              <w:rPr>
                <w:rFonts w:eastAsia="Calibri" w:cs="Arial"/>
              </w:rPr>
              <w:t xml:space="preserve">  ]</w:t>
            </w:r>
            <w:proofErr w:type="gramEnd"/>
            <w:r w:rsidRPr="006458DE">
              <w:rPr>
                <w:rFonts w:eastAsia="Calibri" w:cs="Arial"/>
              </w:rPr>
              <w:tab/>
            </w:r>
            <w:r w:rsidRPr="006458DE">
              <w:rPr>
                <w:rFonts w:eastAsia="Calibri" w:cs="Arial"/>
                <w:iCs/>
              </w:rPr>
              <w:t xml:space="preserve">at any time and if the </w:t>
            </w:r>
            <w:r w:rsidRPr="006458DE">
              <w:rPr>
                <w:rFonts w:eastAsia="Calibri" w:cs="Calibri"/>
              </w:rPr>
              <w:t>person the subject of this warrant</w:t>
            </w:r>
            <w:r w:rsidRPr="006458DE">
              <w:rPr>
                <w:rFonts w:eastAsia="Calibri" w:cs="Arial"/>
              </w:rPr>
              <w:t xml:space="preserve"> is arrested outside </w:t>
            </w:r>
            <w:r w:rsidRPr="006458DE">
              <w:rPr>
                <w:rFonts w:eastAsia="Calibri" w:cs="Arial"/>
                <w:iCs/>
              </w:rPr>
              <w:t xml:space="preserve">normal Court hours the Person is to be kept in police custody until the </w:t>
            </w:r>
            <w:r w:rsidRPr="006458DE">
              <w:rPr>
                <w:rFonts w:eastAsia="Calibri" w:cs="Calibri"/>
              </w:rPr>
              <w:t>Person the subject of this warrant</w:t>
            </w:r>
            <w:r w:rsidRPr="006458DE">
              <w:rPr>
                <w:rFonts w:eastAsia="Calibri" w:cs="Arial"/>
              </w:rPr>
              <w:t xml:space="preserve"> can be brought before the Court.</w:t>
            </w:r>
          </w:p>
          <w:p w14:paraId="6189052A" w14:textId="1D350265" w:rsidR="005705F2" w:rsidRPr="009A7759" w:rsidRDefault="009A7759" w:rsidP="00280A3C">
            <w:pPr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458DE">
              <w:rPr>
                <w:rFonts w:cs="Arial"/>
              </w:rPr>
              <w:t>This warrant expires on: [</w:t>
            </w:r>
            <w:r w:rsidRPr="006458DE">
              <w:rPr>
                <w:rFonts w:cs="Arial"/>
                <w:i/>
              </w:rPr>
              <w:t>date</w:t>
            </w:r>
            <w:r w:rsidRPr="006458DE">
              <w:rPr>
                <w:rFonts w:cs="Arial"/>
              </w:rPr>
              <w:t>]</w:t>
            </w:r>
          </w:p>
        </w:tc>
      </w:tr>
    </w:tbl>
    <w:p w14:paraId="3F5D80A3" w14:textId="78A9A606" w:rsidR="00E02429" w:rsidRDefault="00E02429" w:rsidP="00D47030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33B2A" w14:paraId="1C8014C6" w14:textId="77777777" w:rsidTr="009E27BB">
        <w:tc>
          <w:tcPr>
            <w:tcW w:w="10457" w:type="dxa"/>
          </w:tcPr>
          <w:p w14:paraId="4548EE46" w14:textId="0C62087D" w:rsidR="00333B2A" w:rsidRPr="00AD2022" w:rsidRDefault="00333B2A" w:rsidP="00280A3C">
            <w:pPr>
              <w:spacing w:before="120" w:after="120"/>
              <w:rPr>
                <w:rFonts w:cs="Arial"/>
                <w:b/>
                <w:i/>
                <w:iCs/>
                <w:szCs w:val="18"/>
                <w:lang w:val="en-US"/>
              </w:rPr>
            </w:pPr>
            <w:r w:rsidRPr="00AD2022">
              <w:rPr>
                <w:rFonts w:cs="Arial"/>
                <w:b/>
                <w:iCs/>
                <w:szCs w:val="18"/>
                <w:lang w:val="en-US"/>
              </w:rPr>
              <w:t xml:space="preserve">Warrants issued pursuant to clause 9 of Schedule 2 of the </w:t>
            </w:r>
            <w:r w:rsidRPr="00DB0CC9">
              <w:rPr>
                <w:rFonts w:cs="Arial"/>
                <w:b/>
                <w:iCs/>
                <w:szCs w:val="18"/>
                <w:lang w:val="en-US"/>
              </w:rPr>
              <w:t>Independent Commissioner Against Corruption Act 2012</w:t>
            </w:r>
          </w:p>
          <w:p w14:paraId="376F3905" w14:textId="3B9C32BF" w:rsidR="00333B2A" w:rsidRPr="00333B2A" w:rsidRDefault="00280A3C" w:rsidP="00280A3C">
            <w:pPr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Note 1 –</w:t>
            </w:r>
          </w:p>
          <w:p w14:paraId="40EB34BB" w14:textId="41DEA257" w:rsidR="00333B2A" w:rsidRPr="00AD2022" w:rsidRDefault="00333B2A" w:rsidP="00280A3C">
            <w:pPr>
              <w:spacing w:before="120"/>
              <w:rPr>
                <w:rFonts w:cs="Arial"/>
                <w:iCs/>
                <w:lang w:val="en-US"/>
              </w:rPr>
            </w:pPr>
            <w:r w:rsidRPr="00AD2022">
              <w:rPr>
                <w:rFonts w:cs="Arial"/>
                <w:iCs/>
                <w:lang w:val="en-US"/>
              </w:rPr>
              <w:t>If a person is apprehended under this warrant, he or she must be brought, as soon as practicable, before a Judge of the Su</w:t>
            </w:r>
            <w:r w:rsidR="00280A3C">
              <w:rPr>
                <w:rFonts w:cs="Arial"/>
                <w:iCs/>
                <w:lang w:val="en-US"/>
              </w:rPr>
              <w:t>preme Court and the Judge may –</w:t>
            </w:r>
          </w:p>
          <w:p w14:paraId="1A52C174" w14:textId="47B2680E" w:rsidR="00333B2A" w:rsidRPr="00AD2022" w:rsidRDefault="00333B2A" w:rsidP="00333B2A">
            <w:pPr>
              <w:pStyle w:val="ListParagraph"/>
              <w:numPr>
                <w:ilvl w:val="0"/>
                <w:numId w:val="50"/>
              </w:numPr>
              <w:spacing w:before="120"/>
              <w:ind w:right="176"/>
              <w:rPr>
                <w:rFonts w:cs="Arial"/>
                <w:iCs/>
                <w:lang w:val="en-US"/>
              </w:rPr>
            </w:pPr>
            <w:r w:rsidRPr="00AD2022">
              <w:rPr>
                <w:rFonts w:cs="Arial"/>
                <w:iCs/>
                <w:lang w:val="en-US"/>
              </w:rPr>
              <w:t xml:space="preserve">admit the person to bail, with such security as the Judge thinks fit, on such conditions as he or she thinks necessary to ensure the appearance of the person as a </w:t>
            </w:r>
            <w:r w:rsidR="00280A3C">
              <w:rPr>
                <w:rFonts w:cs="Arial"/>
                <w:iCs/>
                <w:lang w:val="en-US"/>
              </w:rPr>
              <w:t>witness before the examiner; or</w:t>
            </w:r>
          </w:p>
          <w:p w14:paraId="73D4389C" w14:textId="0FE94D69" w:rsidR="00333B2A" w:rsidRPr="00AD2022" w:rsidRDefault="00333B2A" w:rsidP="00333B2A">
            <w:pPr>
              <w:pStyle w:val="ListParagraph"/>
              <w:numPr>
                <w:ilvl w:val="0"/>
                <w:numId w:val="50"/>
              </w:numPr>
              <w:spacing w:before="120"/>
              <w:ind w:right="176"/>
              <w:rPr>
                <w:rFonts w:cs="Arial"/>
                <w:iCs/>
                <w:lang w:val="en-US"/>
              </w:rPr>
            </w:pPr>
            <w:r w:rsidRPr="00AD2022">
              <w:rPr>
                <w:rFonts w:cs="Arial"/>
                <w:iCs/>
                <w:lang w:val="en-US"/>
              </w:rPr>
              <w:t>order the continued detention of the person for the purposes of ensuring his or her a</w:t>
            </w:r>
            <w:r w:rsidR="001F1545">
              <w:rPr>
                <w:rFonts w:cs="Arial"/>
                <w:iCs/>
                <w:lang w:val="en-US"/>
              </w:rPr>
              <w:t>ppearance as such a witness; or</w:t>
            </w:r>
          </w:p>
          <w:p w14:paraId="2F8C9EBA" w14:textId="2132DCBB" w:rsidR="00333B2A" w:rsidRPr="00AD2022" w:rsidRDefault="00333B2A" w:rsidP="00333B2A">
            <w:pPr>
              <w:pStyle w:val="ListParagraph"/>
              <w:numPr>
                <w:ilvl w:val="0"/>
                <w:numId w:val="50"/>
              </w:numPr>
              <w:spacing w:before="120"/>
              <w:ind w:right="176"/>
              <w:rPr>
                <w:rFonts w:cs="Arial"/>
                <w:iCs/>
                <w:lang w:val="en-US"/>
              </w:rPr>
            </w:pPr>
            <w:r w:rsidRPr="00AD2022">
              <w:rPr>
                <w:rFonts w:cs="Arial"/>
                <w:iCs/>
                <w:lang w:val="en-US"/>
              </w:rPr>
              <w:t>o</w:t>
            </w:r>
            <w:r w:rsidR="00280A3C">
              <w:rPr>
                <w:rFonts w:cs="Arial"/>
                <w:iCs/>
                <w:lang w:val="en-US"/>
              </w:rPr>
              <w:t>rder the release of the person.</w:t>
            </w:r>
          </w:p>
          <w:p w14:paraId="08F678A7" w14:textId="3227049E" w:rsidR="00333B2A" w:rsidRPr="00333B2A" w:rsidRDefault="00280A3C" w:rsidP="00280A3C">
            <w:pPr>
              <w:spacing w:before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Note 2 –</w:t>
            </w:r>
          </w:p>
          <w:p w14:paraId="19EC6234" w14:textId="0E8ADE5E" w:rsidR="00333B2A" w:rsidRPr="00D47030" w:rsidRDefault="00333B2A" w:rsidP="00280A3C">
            <w:pPr>
              <w:spacing w:before="120" w:after="120"/>
              <w:rPr>
                <w:rFonts w:cs="Arial"/>
                <w:iCs/>
                <w:lang w:val="en-US"/>
              </w:rPr>
            </w:pPr>
            <w:r w:rsidRPr="00AD2022">
              <w:rPr>
                <w:rFonts w:cs="Arial"/>
                <w:iCs/>
                <w:lang w:val="en-US"/>
              </w:rPr>
              <w:t xml:space="preserve">If a person is under detention under clause 9 of Schedule 2 to the </w:t>
            </w:r>
            <w:r w:rsidRPr="00DF6F72">
              <w:rPr>
                <w:rFonts w:cs="Arial"/>
                <w:iCs/>
                <w:lang w:val="en-US"/>
              </w:rPr>
              <w:t>Independent Commissioner Against Corruption Act 2012</w:t>
            </w:r>
            <w:r w:rsidRPr="00AD2022">
              <w:rPr>
                <w:rFonts w:cs="Arial"/>
                <w:i/>
                <w:iCs/>
                <w:lang w:val="en-US"/>
              </w:rPr>
              <w:t xml:space="preserve">, </w:t>
            </w:r>
            <w:r w:rsidRPr="00AD2022">
              <w:rPr>
                <w:rFonts w:cs="Arial"/>
                <w:iCs/>
                <w:lang w:val="en-US"/>
              </w:rPr>
              <w:t>he or she must, within 14 calendar days after he or she was brought, or last brought, before a Judge of the Supreme Court in accordance with that clause, or within such shorter or longer time as a Judge has fixed upon the last previous appearance of the person before a Judge under that clause, b</w:t>
            </w:r>
            <w:r w:rsidR="00280A3C">
              <w:rPr>
                <w:rFonts w:cs="Arial"/>
                <w:iCs/>
                <w:lang w:val="en-US"/>
              </w:rPr>
              <w:t>e again brought before a Judge.</w:t>
            </w:r>
          </w:p>
        </w:tc>
      </w:tr>
    </w:tbl>
    <w:p w14:paraId="41DAA760" w14:textId="77777777" w:rsidR="00280A3C" w:rsidRPr="000B3784" w:rsidRDefault="00280A3C" w:rsidP="00280A3C">
      <w:pPr>
        <w:spacing w:before="120" w:after="120"/>
        <w:rPr>
          <w:rFonts w:asciiTheme="minorHAnsi" w:hAnsiTheme="minorHAnsi" w:cs="Calibri"/>
        </w:rPr>
      </w:pPr>
      <w:bookmarkStart w:id="7" w:name="_Hlk38553874"/>
      <w:bookmarkStart w:id="8" w:name="_Hlk38557195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80A3C" w:rsidRPr="000B3784" w14:paraId="350136F8" w14:textId="77777777" w:rsidTr="007D62BA">
        <w:tc>
          <w:tcPr>
            <w:tcW w:w="10457" w:type="dxa"/>
          </w:tcPr>
          <w:p w14:paraId="7C53F25A" w14:textId="77777777" w:rsidR="00280A3C" w:rsidRPr="000B3784" w:rsidRDefault="00280A3C" w:rsidP="007D62BA">
            <w:pPr>
              <w:spacing w:before="120" w:after="480"/>
              <w:rPr>
                <w:rFonts w:cs="Arial"/>
                <w:b/>
                <w:iCs/>
                <w:sz w:val="12"/>
                <w:szCs w:val="12"/>
              </w:rPr>
            </w:pPr>
            <w:r w:rsidRPr="000B3784">
              <w:rPr>
                <w:rFonts w:cs="Arial"/>
                <w:b/>
                <w:iCs/>
                <w:sz w:val="12"/>
                <w:szCs w:val="12"/>
              </w:rPr>
              <w:t>Court use only</w:t>
            </w:r>
          </w:p>
          <w:p w14:paraId="3B8556CA" w14:textId="77777777" w:rsidR="00280A3C" w:rsidRPr="000B3784" w:rsidRDefault="00280A3C" w:rsidP="007D62BA">
            <w:pPr>
              <w:ind w:right="176"/>
              <w:rPr>
                <w:rFonts w:cs="Arial"/>
              </w:rPr>
            </w:pPr>
            <w:r w:rsidRPr="000B3784">
              <w:rPr>
                <w:rFonts w:cs="Arial"/>
              </w:rPr>
              <w:t>…………………………………………</w:t>
            </w:r>
          </w:p>
          <w:p w14:paraId="055F5309" w14:textId="77777777" w:rsidR="00280A3C" w:rsidRPr="000B3784" w:rsidRDefault="00280A3C" w:rsidP="007D62BA">
            <w:pPr>
              <w:spacing w:after="120"/>
              <w:ind w:right="176"/>
              <w:rPr>
                <w:rFonts w:cs="Arial"/>
              </w:rPr>
            </w:pPr>
            <w:r w:rsidRPr="000B3784">
              <w:rPr>
                <w:rFonts w:cs="Arial"/>
              </w:rPr>
              <w:t>Registrar</w:t>
            </w:r>
          </w:p>
        </w:tc>
      </w:tr>
      <w:bookmarkEnd w:id="7"/>
      <w:bookmarkEnd w:id="8"/>
    </w:tbl>
    <w:p w14:paraId="3FEF4F0B" w14:textId="3E859380" w:rsidR="001345C2" w:rsidRDefault="001345C2" w:rsidP="00280A3C">
      <w:pPr>
        <w:spacing w:before="120" w:after="120"/>
        <w:rPr>
          <w:rFonts w:asciiTheme="minorHAnsi" w:hAnsiTheme="minorHAnsi" w:cs="Calibri"/>
        </w:rPr>
      </w:pPr>
    </w:p>
    <w:sectPr w:rsidR="001345C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65C1" w14:textId="77777777" w:rsidR="00F03F69" w:rsidRDefault="00F03F69" w:rsidP="00F437EE">
      <w:r>
        <w:separator/>
      </w:r>
    </w:p>
  </w:endnote>
  <w:endnote w:type="continuationSeparator" w:id="0">
    <w:p w14:paraId="40F331A9" w14:textId="77777777" w:rsidR="00F03F69" w:rsidRDefault="00F03F6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F520" w14:textId="77777777" w:rsidR="00EE2550" w:rsidRDefault="00EE2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FC42" w14:textId="77777777" w:rsidR="00EE2550" w:rsidRDefault="00EE2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ACBD" w14:textId="77777777" w:rsidR="00EE2550" w:rsidRDefault="00EE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0656" w14:textId="77777777" w:rsidR="00F03F69" w:rsidRDefault="00F03F69" w:rsidP="00F437EE">
      <w:r>
        <w:separator/>
      </w:r>
    </w:p>
  </w:footnote>
  <w:footnote w:type="continuationSeparator" w:id="0">
    <w:p w14:paraId="5606016D" w14:textId="77777777" w:rsidR="00F03F69" w:rsidRDefault="00F03F6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F523" w14:textId="77777777" w:rsidR="00EE2550" w:rsidRDefault="00EE2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7E0C234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E3211">
      <w:rPr>
        <w:lang w:val="en-US"/>
      </w:rPr>
      <w:t>157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1581858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E3211">
      <w:rPr>
        <w:lang w:val="en-US"/>
      </w:rPr>
      <w:t>157</w:t>
    </w:r>
  </w:p>
  <w:p w14:paraId="02461B43" w14:textId="77777777" w:rsidR="00917942" w:rsidRPr="00BA48D1" w:rsidRDefault="00917942" w:rsidP="00EE255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B5FE695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CA208D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BD1"/>
    <w:multiLevelType w:val="hybridMultilevel"/>
    <w:tmpl w:val="FA264C22"/>
    <w:lvl w:ilvl="0" w:tplc="465ED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823A26"/>
    <w:multiLevelType w:val="hybridMultilevel"/>
    <w:tmpl w:val="F92C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126C0"/>
    <w:multiLevelType w:val="hybridMultilevel"/>
    <w:tmpl w:val="C224876C"/>
    <w:lvl w:ilvl="0" w:tplc="CB68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113329"/>
    <w:multiLevelType w:val="hybridMultilevel"/>
    <w:tmpl w:val="ED628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C691C"/>
    <w:multiLevelType w:val="hybridMultilevel"/>
    <w:tmpl w:val="5BF0A2B8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8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4"/>
  </w:num>
  <w:num w:numId="3">
    <w:abstractNumId w:val="0"/>
  </w:num>
  <w:num w:numId="4">
    <w:abstractNumId w:val="23"/>
  </w:num>
  <w:num w:numId="5">
    <w:abstractNumId w:val="15"/>
  </w:num>
  <w:num w:numId="6">
    <w:abstractNumId w:val="22"/>
  </w:num>
  <w:num w:numId="7">
    <w:abstractNumId w:val="12"/>
  </w:num>
  <w:num w:numId="8">
    <w:abstractNumId w:val="14"/>
  </w:num>
  <w:num w:numId="9">
    <w:abstractNumId w:val="1"/>
  </w:num>
  <w:num w:numId="10">
    <w:abstractNumId w:val="40"/>
  </w:num>
  <w:num w:numId="11">
    <w:abstractNumId w:val="18"/>
  </w:num>
  <w:num w:numId="12">
    <w:abstractNumId w:val="28"/>
  </w:num>
  <w:num w:numId="13">
    <w:abstractNumId w:val="45"/>
  </w:num>
  <w:num w:numId="14">
    <w:abstractNumId w:val="10"/>
  </w:num>
  <w:num w:numId="15">
    <w:abstractNumId w:val="37"/>
  </w:num>
  <w:num w:numId="16">
    <w:abstractNumId w:val="35"/>
  </w:num>
  <w:num w:numId="17">
    <w:abstractNumId w:val="4"/>
  </w:num>
  <w:num w:numId="18">
    <w:abstractNumId w:val="16"/>
  </w:num>
  <w:num w:numId="19">
    <w:abstractNumId w:val="48"/>
  </w:num>
  <w:num w:numId="20">
    <w:abstractNumId w:val="6"/>
  </w:num>
  <w:num w:numId="21">
    <w:abstractNumId w:val="39"/>
  </w:num>
  <w:num w:numId="22">
    <w:abstractNumId w:val="13"/>
  </w:num>
  <w:num w:numId="23">
    <w:abstractNumId w:val="30"/>
  </w:num>
  <w:num w:numId="24">
    <w:abstractNumId w:val="21"/>
  </w:num>
  <w:num w:numId="25">
    <w:abstractNumId w:val="49"/>
  </w:num>
  <w:num w:numId="26">
    <w:abstractNumId w:val="25"/>
  </w:num>
  <w:num w:numId="27">
    <w:abstractNumId w:val="24"/>
  </w:num>
  <w:num w:numId="28">
    <w:abstractNumId w:val="43"/>
  </w:num>
  <w:num w:numId="29">
    <w:abstractNumId w:val="5"/>
  </w:num>
  <w:num w:numId="30">
    <w:abstractNumId w:val="29"/>
  </w:num>
  <w:num w:numId="31">
    <w:abstractNumId w:val="9"/>
  </w:num>
  <w:num w:numId="32">
    <w:abstractNumId w:val="17"/>
  </w:num>
  <w:num w:numId="33">
    <w:abstractNumId w:val="42"/>
  </w:num>
  <w:num w:numId="34">
    <w:abstractNumId w:val="19"/>
  </w:num>
  <w:num w:numId="35">
    <w:abstractNumId w:val="20"/>
  </w:num>
  <w:num w:numId="36">
    <w:abstractNumId w:val="26"/>
  </w:num>
  <w:num w:numId="37">
    <w:abstractNumId w:val="41"/>
  </w:num>
  <w:num w:numId="38">
    <w:abstractNumId w:val="7"/>
  </w:num>
  <w:num w:numId="39">
    <w:abstractNumId w:val="31"/>
  </w:num>
  <w:num w:numId="40">
    <w:abstractNumId w:val="46"/>
  </w:num>
  <w:num w:numId="41">
    <w:abstractNumId w:val="33"/>
  </w:num>
  <w:num w:numId="42">
    <w:abstractNumId w:val="11"/>
  </w:num>
  <w:num w:numId="43">
    <w:abstractNumId w:val="47"/>
  </w:num>
  <w:num w:numId="44">
    <w:abstractNumId w:val="3"/>
  </w:num>
  <w:num w:numId="45">
    <w:abstractNumId w:val="2"/>
  </w:num>
  <w:num w:numId="46">
    <w:abstractNumId w:val="44"/>
  </w:num>
  <w:num w:numId="47">
    <w:abstractNumId w:val="38"/>
  </w:num>
  <w:num w:numId="48">
    <w:abstractNumId w:val="36"/>
  </w:num>
  <w:num w:numId="49">
    <w:abstractNumId w:val="32"/>
  </w:num>
  <w:num w:numId="5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2F4E"/>
    <w:rsid w:val="00153B67"/>
    <w:rsid w:val="00153D16"/>
    <w:rsid w:val="0015479F"/>
    <w:rsid w:val="001547FC"/>
    <w:rsid w:val="00155AE5"/>
    <w:rsid w:val="00157EFC"/>
    <w:rsid w:val="00163585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545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07C8B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2EC7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01C7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0A3C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211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3B2A"/>
    <w:rsid w:val="00335E0C"/>
    <w:rsid w:val="0033674D"/>
    <w:rsid w:val="00337B76"/>
    <w:rsid w:val="00337F8E"/>
    <w:rsid w:val="003404F0"/>
    <w:rsid w:val="003405B7"/>
    <w:rsid w:val="00340DC0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1D8C"/>
    <w:rsid w:val="004225A5"/>
    <w:rsid w:val="00425774"/>
    <w:rsid w:val="00426143"/>
    <w:rsid w:val="00426E01"/>
    <w:rsid w:val="00430499"/>
    <w:rsid w:val="00430B0F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1DCF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F84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18B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007"/>
    <w:rsid w:val="00557CD1"/>
    <w:rsid w:val="005602BD"/>
    <w:rsid w:val="00565F5D"/>
    <w:rsid w:val="005702E9"/>
    <w:rsid w:val="005705F2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316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8F6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8DE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E17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3056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0722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133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3BB7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6501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A7759"/>
    <w:rsid w:val="009B0E22"/>
    <w:rsid w:val="009B0EB8"/>
    <w:rsid w:val="009B25D6"/>
    <w:rsid w:val="009B5F25"/>
    <w:rsid w:val="009B64CD"/>
    <w:rsid w:val="009B681B"/>
    <w:rsid w:val="009B6C12"/>
    <w:rsid w:val="009B6D4D"/>
    <w:rsid w:val="009B7BF0"/>
    <w:rsid w:val="009C0569"/>
    <w:rsid w:val="009C2552"/>
    <w:rsid w:val="009C2B95"/>
    <w:rsid w:val="009C2D7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0968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5356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5A39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2DFE"/>
    <w:rsid w:val="00B85A08"/>
    <w:rsid w:val="00B870BD"/>
    <w:rsid w:val="00B90CC6"/>
    <w:rsid w:val="00B90EA3"/>
    <w:rsid w:val="00B93E1B"/>
    <w:rsid w:val="00B96EBB"/>
    <w:rsid w:val="00B972E3"/>
    <w:rsid w:val="00B97D83"/>
    <w:rsid w:val="00BA061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208D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C5056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2F9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703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0CC9"/>
    <w:rsid w:val="00DB2060"/>
    <w:rsid w:val="00DB2BB8"/>
    <w:rsid w:val="00DB4F7D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6F72"/>
    <w:rsid w:val="00DF79AD"/>
    <w:rsid w:val="00E00EBE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1B2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2550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3F69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6488"/>
    <w:rsid w:val="00F775BA"/>
    <w:rsid w:val="00F77DDC"/>
    <w:rsid w:val="00F80747"/>
    <w:rsid w:val="00F834AA"/>
    <w:rsid w:val="00F866AE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2928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A605351</value>
    </field>
    <field name="Objective-Title">
      <value order="0">Form 108 Warrent of Apprehension Fines Enforcement and Debt Recovery Act 2017 (MT edit)</value>
    </field>
    <field name="Objective-Description">
      <value order="0"/>
    </field>
    <field name="Objective-CreationStamp">
      <value order="0">2019-09-03T22:57:22Z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2019-09-03T23:02:07Z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vA1087251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Props1.xml><?xml version="1.0" encoding="utf-8"?>
<ds:datastoreItem xmlns:ds="http://schemas.openxmlformats.org/officeDocument/2006/customXml" ds:itemID="{EB5231B8-DDDF-4708-AAEB-067BBDF93D02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1A5BA54E-2E61-4432-BEC2-2BABC02493B6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157 Warrant of Apprehension - ICAC Act</vt:lpstr>
    </vt:vector>
  </TitlesOfParts>
  <Company>Courts Administration Authority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157 Warrant of Apprehension - ICAC Act</dc:title>
  <dc:subject/>
  <dc:creator>Courts Administration Authority</dc:creator>
  <cp:keywords>Civil; Forms; Enforcement</cp:keywords>
  <dc:description/>
  <cp:lastPrinted>2019-05-23T22:52:00Z</cp:lastPrinted>
  <dcterms:created xsi:type="dcterms:W3CDTF">2020-01-07T04:40:00Z</dcterms:created>
  <dcterms:modified xsi:type="dcterms:W3CDTF">2020-04-30T06:40:00Z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A605351</vt:lpwstr>
  </property>
  <property fmtid="{D5CDD505-2E9C-101B-9397-08002B2CF9AE}" pid="4" name="Objective-Title">
    <vt:lpwstr>Form 108 Warrent of Apprehension Fines Enforcement and Debt Recovery Act 2017 (MT edit)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2019-09-03T23:02:06Z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2019-09-03T23:02:07Z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vA1087251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18800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157</vt:r8>
  </property>
</Properties>
</file>